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07" w:rsidRDefault="00876607" w:rsidP="00876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Конкурс НИЦ «Курчатовский институт» – ВИАМ</w:t>
      </w:r>
    </w:p>
    <w:p w:rsidR="007977CD" w:rsidRPr="005D4D6D" w:rsidRDefault="007977CD" w:rsidP="00876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D6D">
        <w:rPr>
          <w:rFonts w:ascii="Times New Roman" w:hAnsi="Times New Roman"/>
          <w:b/>
          <w:sz w:val="28"/>
          <w:szCs w:val="28"/>
        </w:rPr>
        <w:t xml:space="preserve">на создание монографии </w:t>
      </w:r>
      <w:r>
        <w:rPr>
          <w:rFonts w:ascii="Times New Roman" w:hAnsi="Times New Roman"/>
          <w:b/>
          <w:sz w:val="28"/>
          <w:szCs w:val="28"/>
        </w:rPr>
        <w:t>по современному материаловедению</w:t>
      </w:r>
    </w:p>
    <w:p w:rsidR="007977CD" w:rsidRDefault="007977CD" w:rsidP="007977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77CD" w:rsidRPr="005D4D6D" w:rsidRDefault="00CF45F2" w:rsidP="007977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02824" cy="3601938"/>
            <wp:effectExtent l="0" t="0" r="7620" b="0"/>
            <wp:docPr id="1" name="Рисунок 1" descr="C:\Users\vatulyan_ea\AppData\Local\Microsoft\Windows\Temporary Internet Files\Content.Word\JS0A2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tulyan_ea\AppData\Local\Microsoft\Windows\Temporary Internet Files\Content.Word\JS0A21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543" cy="360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7CD" w:rsidRDefault="007977CD" w:rsidP="007977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77CD" w:rsidRPr="005D4D6D" w:rsidRDefault="007977CD" w:rsidP="007977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Федеральное государственное унитарное предприятие «Всероссийский научно-исследовательский институт авиационных материалов» </w:t>
      </w:r>
      <w:r w:rsid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Национального исследовательского центра «Курчатовский институт» </w:t>
      </w:r>
      <w:r w:rsidRPr="005D4D6D">
        <w:rPr>
          <w:rFonts w:ascii="Times New Roman" w:hAnsi="Times New Roman"/>
          <w:sz w:val="24"/>
          <w:szCs w:val="24"/>
        </w:rPr>
        <w:t>объявляет Конкурс на создание монографи</w:t>
      </w:r>
      <w:r>
        <w:rPr>
          <w:rFonts w:ascii="Times New Roman" w:hAnsi="Times New Roman"/>
          <w:sz w:val="24"/>
          <w:szCs w:val="24"/>
        </w:rPr>
        <w:t>й по современному материаловедению</w:t>
      </w:r>
      <w:r w:rsidR="00737977">
        <w:rPr>
          <w:rFonts w:ascii="Times New Roman" w:hAnsi="Times New Roman"/>
          <w:sz w:val="24"/>
          <w:szCs w:val="24"/>
        </w:rPr>
        <w:t>.</w:t>
      </w:r>
      <w:r w:rsidRPr="005D4D6D">
        <w:rPr>
          <w:rFonts w:ascii="Times New Roman" w:hAnsi="Times New Roman"/>
          <w:sz w:val="24"/>
          <w:szCs w:val="24"/>
        </w:rPr>
        <w:t xml:space="preserve"> </w:t>
      </w:r>
    </w:p>
    <w:p w:rsidR="007977CD" w:rsidRDefault="007977CD" w:rsidP="007977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7CD" w:rsidRPr="0029055F" w:rsidRDefault="007977CD" w:rsidP="00797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55F">
        <w:rPr>
          <w:rFonts w:ascii="Times New Roman" w:hAnsi="Times New Roman"/>
          <w:b/>
          <w:sz w:val="24"/>
          <w:szCs w:val="24"/>
        </w:rPr>
        <w:t>Тем</w:t>
      </w:r>
      <w:r w:rsidR="00BA638C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977CD" w:rsidRPr="00BA638C" w:rsidRDefault="001709E4" w:rsidP="001805D8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A638C">
        <w:rPr>
          <w:rFonts w:ascii="Times New Roman" w:hAnsi="Times New Roman"/>
          <w:b/>
          <w:sz w:val="28"/>
          <w:szCs w:val="28"/>
        </w:rPr>
        <w:t>«</w:t>
      </w:r>
      <w:r w:rsidR="00BA638C" w:rsidRPr="00BA638C">
        <w:rPr>
          <w:rFonts w:ascii="Times New Roman" w:hAnsi="Times New Roman"/>
          <w:b/>
          <w:sz w:val="28"/>
          <w:szCs w:val="28"/>
        </w:rPr>
        <w:t xml:space="preserve">Редкоземельные магнитные материалы и </w:t>
      </w:r>
      <w:proofErr w:type="spellStart"/>
      <w:r w:rsidR="00BA638C" w:rsidRPr="00BA638C">
        <w:rPr>
          <w:rFonts w:ascii="Times New Roman" w:hAnsi="Times New Roman"/>
          <w:b/>
          <w:sz w:val="28"/>
          <w:szCs w:val="28"/>
        </w:rPr>
        <w:t>микромагниты</w:t>
      </w:r>
      <w:proofErr w:type="spellEnd"/>
      <w:r w:rsidR="00BA638C" w:rsidRPr="00BA638C">
        <w:rPr>
          <w:rFonts w:ascii="Times New Roman" w:hAnsi="Times New Roman"/>
          <w:b/>
          <w:sz w:val="28"/>
          <w:szCs w:val="28"/>
        </w:rPr>
        <w:t xml:space="preserve">», </w:t>
      </w:r>
      <w:r w:rsidR="00BA638C">
        <w:rPr>
          <w:rFonts w:ascii="Times New Roman" w:hAnsi="Times New Roman"/>
          <w:b/>
          <w:sz w:val="28"/>
          <w:szCs w:val="28"/>
        </w:rPr>
        <w:br/>
      </w:r>
      <w:r w:rsidR="00BA638C" w:rsidRPr="00BA638C">
        <w:rPr>
          <w:rFonts w:ascii="Times New Roman" w:hAnsi="Times New Roman"/>
          <w:b/>
          <w:sz w:val="28"/>
          <w:szCs w:val="28"/>
        </w:rPr>
        <w:t>«</w:t>
      </w:r>
      <w:r w:rsidR="00BA638C" w:rsidRPr="00BA638C"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  <w:t>Методы исследования старения полимерных композиционных материалов в натурных и лабораторных условиях».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</w:rPr>
        <w:t xml:space="preserve">Заявки на создание монографии принимаются с </w:t>
      </w:r>
      <w:r w:rsidR="00B9329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B93291">
        <w:rPr>
          <w:rFonts w:ascii="Times New Roman" w:hAnsi="Times New Roman"/>
          <w:sz w:val="24"/>
          <w:szCs w:val="24"/>
        </w:rPr>
        <w:t xml:space="preserve">октября </w:t>
      </w:r>
      <w:r w:rsidRPr="005D4D6D">
        <w:rPr>
          <w:rFonts w:ascii="Times New Roman" w:hAnsi="Times New Roman"/>
          <w:sz w:val="24"/>
          <w:szCs w:val="24"/>
        </w:rPr>
        <w:t xml:space="preserve">по </w:t>
      </w:r>
      <w:r w:rsidR="00B93291">
        <w:rPr>
          <w:rFonts w:ascii="Times New Roman" w:hAnsi="Times New Roman"/>
          <w:sz w:val="24"/>
          <w:szCs w:val="24"/>
        </w:rPr>
        <w:t>19</w:t>
      </w:r>
      <w:r w:rsidR="001747B7">
        <w:rPr>
          <w:rFonts w:ascii="Times New Roman" w:hAnsi="Times New Roman"/>
          <w:sz w:val="24"/>
          <w:szCs w:val="24"/>
        </w:rPr>
        <w:t xml:space="preserve"> </w:t>
      </w:r>
      <w:r w:rsidR="00B93291">
        <w:rPr>
          <w:rFonts w:ascii="Times New Roman" w:hAnsi="Times New Roman"/>
          <w:sz w:val="24"/>
          <w:szCs w:val="24"/>
        </w:rPr>
        <w:t>ноябр</w:t>
      </w:r>
      <w:r w:rsidR="001709E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D6D">
        <w:rPr>
          <w:rFonts w:ascii="Times New Roman" w:hAnsi="Times New Roman"/>
          <w:sz w:val="24"/>
          <w:szCs w:val="24"/>
        </w:rPr>
        <w:t>20</w:t>
      </w:r>
      <w:r w:rsidR="001709E4">
        <w:rPr>
          <w:rFonts w:ascii="Times New Roman" w:hAnsi="Times New Roman"/>
          <w:sz w:val="24"/>
          <w:szCs w:val="24"/>
        </w:rPr>
        <w:t>21</w:t>
      </w:r>
      <w:r w:rsidRPr="005D4D6D">
        <w:rPr>
          <w:rFonts w:ascii="Times New Roman" w:hAnsi="Times New Roman"/>
          <w:sz w:val="24"/>
          <w:szCs w:val="24"/>
        </w:rPr>
        <w:t xml:space="preserve"> г. включительно.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4D6D">
        <w:rPr>
          <w:rFonts w:ascii="Times New Roman" w:hAnsi="Times New Roman"/>
          <w:color w:val="000000"/>
          <w:sz w:val="24"/>
          <w:szCs w:val="24"/>
        </w:rPr>
        <w:t xml:space="preserve">Вознаграждение за выполнение работ по созданию монографии представляет собой произведение утвержденного вознаграждения за 1 (Один) авторский лист на фактическое количество авторских листов в конкретной монографии. Объем вознаграждения за выполнение работ по созданию монографии составляет </w:t>
      </w:r>
      <w:r>
        <w:rPr>
          <w:rFonts w:ascii="Times New Roman" w:hAnsi="Times New Roman"/>
          <w:color w:val="000000"/>
          <w:sz w:val="24"/>
          <w:szCs w:val="24"/>
        </w:rPr>
        <w:t xml:space="preserve">150 тыс. </w:t>
      </w:r>
      <w:r w:rsidRPr="005D4D6D">
        <w:rPr>
          <w:rFonts w:ascii="Times New Roman" w:hAnsi="Times New Roman"/>
          <w:color w:val="000000"/>
          <w:sz w:val="24"/>
          <w:szCs w:val="24"/>
        </w:rPr>
        <w:t xml:space="preserve">рублей при объеме монографии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5D4D6D">
        <w:rPr>
          <w:rFonts w:ascii="Times New Roman" w:hAnsi="Times New Roman"/>
          <w:color w:val="000000"/>
          <w:sz w:val="24"/>
          <w:szCs w:val="24"/>
        </w:rPr>
        <w:t xml:space="preserve"> авторских листов.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77CD" w:rsidRPr="005D4D6D" w:rsidRDefault="007977CD" w:rsidP="00797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Условия участия в Конкурсе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К участию в Конкурсе приглашаются кандидаты и доктора наук: профессорско-преподавательский состав профильных высших учебных заведений, научные сотрудники организаций Российской академии наук, специалисты в области материаловедения. Участниками Конкурса могут выступать как индивидуальные исследователи, так и научные авторские коллективы (не более 5 человек).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 В Конкурсе участвуют заявки, оформленные в соответствии с прилагаемой к данному Объявлению формой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 заявке должны содержаться сведения о двух независимых рецензентах, готовых предоставить отзывы на монографию. В качестве рецензентов должны выступать лица, имеющие ученую степень доктора наук по тематическому направлению, в рамках которого пишется монография, или по смежному направлению.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Плановый срок создания монографии не должен превышать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месяцев.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Материалы и информация, представленные в заявке, не должны содержать сведений, составляющих государственную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коммерческую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иную охраняемую законом тайну,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также конфиденциальной информации либо информации служебного характера. Заявки, документы и материалы, имеющие ограничительные грифы, к рассмотрению не принимаются.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Соискатели, предоставившие заявки, не соответствующие условиям участия в Конкурсе, с нарушением правил оформления, к участию в Конкурсе не допускаются. Заявки, поступившие на Конкурс по окончании указанного в информационном сообщении срока, не рассматриваются.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</w:rPr>
        <w:t xml:space="preserve">7. В рамках проведения Конкурса </w:t>
      </w:r>
      <w:r>
        <w:rPr>
          <w:rFonts w:ascii="Times New Roman" w:hAnsi="Times New Roman"/>
          <w:sz w:val="24"/>
          <w:szCs w:val="24"/>
        </w:rPr>
        <w:t>один</w:t>
      </w:r>
      <w:r w:rsidRPr="005D4D6D">
        <w:rPr>
          <w:rFonts w:ascii="Times New Roman" w:hAnsi="Times New Roman"/>
          <w:sz w:val="24"/>
          <w:szCs w:val="24"/>
        </w:rPr>
        <w:t xml:space="preserve"> авторский коллектив может подать только одну заявку.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607" w:rsidRPr="00876607" w:rsidRDefault="007977CD" w:rsidP="00876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6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 претендентам на участие в Конкурсе, не состоящим в т</w:t>
      </w:r>
      <w:r w:rsidR="00876607" w:rsidRPr="008766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рудовых отношениях с </w:t>
      </w:r>
      <w:r w:rsidR="00876607" w:rsidRPr="00876607">
        <w:rPr>
          <w:rFonts w:ascii="Times New Roman" w:hAnsi="Times New Roman"/>
          <w:b/>
          <w:sz w:val="24"/>
          <w:szCs w:val="24"/>
        </w:rPr>
        <w:t>НИЦ «Курчатовский институт» – ВИАМ</w:t>
      </w:r>
    </w:p>
    <w:p w:rsidR="007977CD" w:rsidRPr="00876607" w:rsidRDefault="007977CD" w:rsidP="00876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766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предъявляются следующие квалификационные требования:</w:t>
      </w:r>
    </w:p>
    <w:p w:rsidR="007977CD" w:rsidRPr="005D4D6D" w:rsidRDefault="007977CD" w:rsidP="00876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‒ наличие ученой степени по тематическому направлению, в рамках которого пишется монография, или по смежному;</w:t>
      </w:r>
    </w:p>
    <w:p w:rsidR="007977CD" w:rsidRPr="00876607" w:rsidRDefault="007977CD" w:rsidP="008766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‒ наличие 5 статей в ведущих научных журналах, в том числе не менее 3 публикаций в зарубежных журналах, включенных в систему </w:t>
      </w:r>
      <w:proofErr w:type="spellStart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Web</w:t>
      </w:r>
      <w:proofErr w:type="spellEnd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of</w:t>
      </w:r>
      <w:proofErr w:type="spellEnd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Science</w:t>
      </w:r>
      <w:proofErr w:type="spellEnd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Scopus</w:t>
      </w:r>
      <w:proofErr w:type="spellEnd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5 лет, предшествующих дате объявления конкурса и опубликования объявления о проведен</w:t>
      </w:r>
      <w:r w:rsid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Конкурса на сайте </w:t>
      </w:r>
      <w:r w:rsidR="00876607" w:rsidRPr="00876607">
        <w:rPr>
          <w:rFonts w:ascii="Times New Roman" w:hAnsi="Times New Roman"/>
          <w:sz w:val="24"/>
          <w:szCs w:val="24"/>
        </w:rPr>
        <w:t>НИЦ</w:t>
      </w:r>
      <w:r w:rsidR="00876607" w:rsidRPr="00876607">
        <w:rPr>
          <w:rFonts w:ascii="Times New Roman" w:hAnsi="Times New Roman"/>
          <w:sz w:val="28"/>
          <w:szCs w:val="28"/>
        </w:rPr>
        <w:t xml:space="preserve"> «</w:t>
      </w:r>
      <w:r w:rsidR="00876607" w:rsidRPr="00876607">
        <w:rPr>
          <w:rFonts w:ascii="Times New Roman" w:hAnsi="Times New Roman"/>
          <w:sz w:val="24"/>
          <w:szCs w:val="24"/>
        </w:rPr>
        <w:t>Курчатовский институт» – ВИАМ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‒</w:t>
      </w:r>
      <w:r w:rsidRPr="005D4D6D">
        <w:rPr>
          <w:rFonts w:ascii="Times New Roman" w:hAnsi="Times New Roman"/>
          <w:color w:val="000000"/>
          <w:sz w:val="24"/>
          <w:szCs w:val="24"/>
        </w:rPr>
        <w:t xml:space="preserve"> участие в реализации не менее чем 1 государственного контракта на выполнение научно-исследовательской работы в рамках действующих федеральных целевых программ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10 лет, предшествующих дате объявления Конкурса и опубликования объявления о проведен</w:t>
      </w:r>
      <w:r w:rsid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Конкурса на сайте </w:t>
      </w:r>
      <w:r w:rsidR="00876607" w:rsidRPr="00876607">
        <w:rPr>
          <w:rFonts w:ascii="Times New Roman" w:hAnsi="Times New Roman"/>
          <w:sz w:val="24"/>
          <w:szCs w:val="24"/>
        </w:rPr>
        <w:t>НИЦ</w:t>
      </w:r>
      <w:r w:rsidR="00876607" w:rsidRPr="00876607">
        <w:rPr>
          <w:rFonts w:ascii="Times New Roman" w:hAnsi="Times New Roman"/>
          <w:sz w:val="28"/>
          <w:szCs w:val="28"/>
        </w:rPr>
        <w:t xml:space="preserve"> «</w:t>
      </w:r>
      <w:r w:rsidR="00876607" w:rsidRPr="00876607">
        <w:rPr>
          <w:rFonts w:ascii="Times New Roman" w:hAnsi="Times New Roman"/>
          <w:sz w:val="24"/>
          <w:szCs w:val="24"/>
        </w:rPr>
        <w:t>Курчатовский институт» – ВИАМ</w:t>
      </w:r>
      <w:r w:rsidR="00876607">
        <w:rPr>
          <w:rFonts w:ascii="Times New Roman" w:hAnsi="Times New Roman"/>
          <w:sz w:val="24"/>
          <w:szCs w:val="24"/>
        </w:rPr>
        <w:t>.</w:t>
      </w:r>
    </w:p>
    <w:p w:rsidR="007977CD" w:rsidRPr="00FE7FBB" w:rsidRDefault="007977CD" w:rsidP="007977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77CD" w:rsidRPr="005D4D6D" w:rsidRDefault="007977CD" w:rsidP="007977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 претендентам на участие в конкурсе, являющимся ш</w:t>
      </w:r>
      <w:r w:rsidR="008766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татными сотрудниками </w:t>
      </w:r>
      <w:r w:rsidR="00876607" w:rsidRPr="00876607">
        <w:rPr>
          <w:rFonts w:ascii="Times New Roman" w:hAnsi="Times New Roman"/>
          <w:b/>
          <w:sz w:val="24"/>
          <w:szCs w:val="24"/>
        </w:rPr>
        <w:t>НИЦ</w:t>
      </w:r>
      <w:r w:rsidR="00876607" w:rsidRPr="00876607">
        <w:rPr>
          <w:rFonts w:ascii="Times New Roman" w:hAnsi="Times New Roman"/>
          <w:b/>
          <w:sz w:val="28"/>
          <w:szCs w:val="28"/>
        </w:rPr>
        <w:t xml:space="preserve"> «</w:t>
      </w:r>
      <w:r w:rsidR="00876607" w:rsidRPr="00876607">
        <w:rPr>
          <w:rFonts w:ascii="Times New Roman" w:hAnsi="Times New Roman"/>
          <w:b/>
          <w:sz w:val="24"/>
          <w:szCs w:val="24"/>
        </w:rPr>
        <w:t>Курчатовский институт» – ВИАМ</w:t>
      </w:r>
      <w:r w:rsidRPr="005D4D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предъявляются следующие квалификационные требования: 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‒ наличие ученой степени по тематическому направлению, в рамках которого пишется монография, или по смежному;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‒</w:t>
      </w:r>
      <w:r w:rsidRPr="005D4D6D">
        <w:rPr>
          <w:rFonts w:ascii="Times New Roman" w:hAnsi="Times New Roman"/>
          <w:color w:val="000000"/>
          <w:sz w:val="24"/>
          <w:szCs w:val="24"/>
        </w:rPr>
        <w:t xml:space="preserve"> участие в реализации не менее чем 1 государственного контракта на выполнение научно-исследовательской работы в рамках действующих федеральных целевых программ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10 лет, предшествующих дате объявления Конкурса и опубликования объявления о проведен</w:t>
      </w:r>
      <w:r w:rsid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Конкурса на сайте </w:t>
      </w:r>
      <w:r w:rsidR="00876607" w:rsidRPr="00876607">
        <w:rPr>
          <w:rFonts w:ascii="Times New Roman" w:hAnsi="Times New Roman"/>
          <w:sz w:val="24"/>
          <w:szCs w:val="24"/>
        </w:rPr>
        <w:t>НИЦ</w:t>
      </w:r>
      <w:r w:rsidR="00876607" w:rsidRPr="00876607">
        <w:rPr>
          <w:rFonts w:ascii="Times New Roman" w:hAnsi="Times New Roman"/>
          <w:sz w:val="28"/>
          <w:szCs w:val="28"/>
        </w:rPr>
        <w:t xml:space="preserve"> «</w:t>
      </w:r>
      <w:r w:rsidR="00876607" w:rsidRPr="00876607">
        <w:rPr>
          <w:rFonts w:ascii="Times New Roman" w:hAnsi="Times New Roman"/>
          <w:sz w:val="24"/>
          <w:szCs w:val="24"/>
        </w:rPr>
        <w:t>Курчатовский институт» – ВИАМ</w:t>
      </w:r>
      <w:r w:rsidR="00876607">
        <w:rPr>
          <w:rFonts w:ascii="Times New Roman" w:hAnsi="Times New Roman"/>
          <w:sz w:val="24"/>
          <w:szCs w:val="24"/>
        </w:rPr>
        <w:t>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977CD" w:rsidRPr="005D4D6D" w:rsidRDefault="007977CD" w:rsidP="007977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D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т</w:t>
      </w:r>
      <w:r w:rsidRPr="005D4D6D">
        <w:rPr>
          <w:rFonts w:ascii="Times New Roman" w:hAnsi="Times New Roman"/>
          <w:b/>
          <w:sz w:val="24"/>
          <w:szCs w:val="24"/>
        </w:rPr>
        <w:t>ребования к монографии:</w:t>
      </w:r>
    </w:p>
    <w:p w:rsidR="007977CD" w:rsidRPr="0018171B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71B">
        <w:rPr>
          <w:rFonts w:ascii="Times New Roman" w:hAnsi="Times New Roman"/>
          <w:sz w:val="24"/>
          <w:szCs w:val="24"/>
        </w:rPr>
        <w:t>‒ монография должна быть написана в формате учебного пособия в соответствии с требованиями к структуре и содержанию учебного пособия, изложенными в Приложении 1 к настоящему объявлению</w:t>
      </w:r>
      <w:r>
        <w:rPr>
          <w:rFonts w:ascii="Times New Roman" w:hAnsi="Times New Roman"/>
          <w:sz w:val="24"/>
          <w:szCs w:val="24"/>
        </w:rPr>
        <w:t>;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5D4D6D">
        <w:rPr>
          <w:rFonts w:ascii="Times New Roman" w:hAnsi="Times New Roman"/>
          <w:sz w:val="24"/>
          <w:szCs w:val="24"/>
        </w:rPr>
        <w:t>название монографии должно быть ясным и кратким;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4D6D">
        <w:rPr>
          <w:rFonts w:ascii="Times New Roman" w:hAnsi="Times New Roman"/>
          <w:sz w:val="24"/>
          <w:szCs w:val="24"/>
        </w:rPr>
        <w:t>‒ монография должна быть цельной, емкой, информативной</w:t>
      </w:r>
      <w:r>
        <w:rPr>
          <w:rFonts w:ascii="Times New Roman" w:hAnsi="Times New Roman"/>
          <w:sz w:val="24"/>
          <w:szCs w:val="24"/>
        </w:rPr>
        <w:t>,</w:t>
      </w:r>
      <w:r w:rsidRPr="005D4D6D">
        <w:rPr>
          <w:rFonts w:ascii="Times New Roman" w:hAnsi="Times New Roman"/>
          <w:sz w:val="24"/>
          <w:szCs w:val="24"/>
        </w:rPr>
        <w:t xml:space="preserve"> иметь узкую направленность</w:t>
      </w:r>
      <w:r>
        <w:rPr>
          <w:rFonts w:ascii="Times New Roman" w:hAnsi="Times New Roman"/>
          <w:sz w:val="24"/>
          <w:szCs w:val="24"/>
        </w:rPr>
        <w:t xml:space="preserve"> и соответствовать одной или нескольким дисциплинам рабочих учебных программ (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 w:rsidRPr="00D8371F"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study</w:t>
      </w:r>
      <w:r w:rsidRPr="00D8371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viam</w:t>
      </w:r>
      <w:proofErr w:type="spellEnd"/>
      <w:r w:rsidRPr="00D8371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371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images</w:t>
      </w:r>
      <w:r w:rsidRPr="00D8371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content</w:t>
      </w:r>
      <w:r w:rsidRPr="00D8371F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Аннотация_к_рабочим_программам_дисциплин</w:t>
      </w:r>
      <w:proofErr w:type="spellEnd"/>
      <w:r w:rsidRPr="00D837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 xml:space="preserve">) по следующим специальностям: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150100 «Материаловедение и технологии материалов»,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05.16.09 «Материаловедение»; 05.16.01 «Металловедение и термическая обработка металлов и сплавов»; 05.17.06 «Технология и переработка полимеров и композитов»</w:t>
      </w:r>
      <w:r w:rsidRPr="005D4D6D">
        <w:rPr>
          <w:rFonts w:ascii="Times New Roman" w:hAnsi="Times New Roman"/>
          <w:sz w:val="24"/>
          <w:szCs w:val="24"/>
        </w:rPr>
        <w:t>;</w:t>
      </w:r>
      <w:proofErr w:type="gramEnd"/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</w:rPr>
        <w:t>‒ монография должна быть написана понятным и доступным языком;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  <w:shd w:val="clear" w:color="auto" w:fill="FFFFFF"/>
        </w:rPr>
        <w:t>‒ монография должна не только описывать процесс исследований, но и иметь новые идеи, логично и последовательно изложенные;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‒ при цитировании обязательна ссылка на источник</w:t>
      </w:r>
      <w:r w:rsidRPr="005D4D6D">
        <w:rPr>
          <w:rFonts w:ascii="Times New Roman" w:hAnsi="Times New Roman"/>
          <w:sz w:val="24"/>
          <w:szCs w:val="24"/>
        </w:rPr>
        <w:t>;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‒ объем монографии должен составлять не менее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более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авторских листов.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77CD" w:rsidRPr="005D4D6D" w:rsidRDefault="007977CD" w:rsidP="00797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оформлению монографии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Формат</w:t>
      </w:r>
      <w:r w:rsidRPr="007F21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r w:rsidRPr="007F21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proofErr w:type="gramStart"/>
      <w:r w:rsidRPr="005D4D6D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Pr="007F21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5D4D6D">
        <w:rPr>
          <w:rFonts w:ascii="Times New Roman" w:eastAsia="Times New Roman" w:hAnsi="Times New Roman"/>
          <w:sz w:val="24"/>
          <w:szCs w:val="24"/>
          <w:lang w:val="en-US" w:eastAsia="ru-RU"/>
        </w:rPr>
        <w:t>for</w:t>
      </w:r>
      <w:r w:rsidRPr="007F21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5D4D6D">
        <w:rPr>
          <w:rFonts w:ascii="Times New Roman" w:eastAsia="Times New Roman" w:hAnsi="Times New Roman"/>
          <w:sz w:val="24"/>
          <w:szCs w:val="24"/>
          <w:lang w:val="en-US" w:eastAsia="ru-RU"/>
        </w:rPr>
        <w:t>Windows</w:t>
      </w:r>
      <w:r w:rsidRPr="007F21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95/97/2000.</w:t>
      </w:r>
      <w:proofErr w:type="gramEnd"/>
      <w:r w:rsidRPr="007F21C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Формат страницы: А</w:t>
      </w:r>
      <w:proofErr w:type="gramStart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 xml:space="preserve"> (210×297 мм). Поля: 2,5 см – отступ слева, остальные поля по 2 см. Шрифт: размер (кегль) – 14; тип – </w:t>
      </w:r>
      <w:proofErr w:type="spellStart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. Название печатается прописными буквами, шрифт – жирный, выравнивание по центру. Ниже через двойной интервал строчными буквами – инициалы и фамилия автор</w:t>
      </w:r>
      <w:proofErr w:type="gramStart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а(</w:t>
      </w:r>
      <w:proofErr w:type="spellStart"/>
      <w:proofErr w:type="gramEnd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 xml:space="preserve">). На следующей строке – полное название организации, город. После отступа в 2 интервала следует аннотация (не более 500 символов), за которой через 2 интервала – текст, </w:t>
      </w:r>
      <w:r w:rsidRPr="005D4D6D">
        <w:rPr>
          <w:rFonts w:ascii="Times New Roman" w:eastAsia="Times New Roman" w:hAnsi="Times New Roman"/>
          <w:bCs/>
          <w:sz w:val="24"/>
          <w:szCs w:val="24"/>
          <w:lang w:eastAsia="ru-RU"/>
        </w:rPr>
        <w:t>печатаемый через полуторный интервал</w:t>
      </w:r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 xml:space="preserve">, абзацный отступ – 1,5 см,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13 </w:t>
      </w:r>
      <w:proofErr w:type="spellStart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 xml:space="preserve">). Сноски на литературу </w:t>
      </w:r>
      <w:r w:rsidRPr="005D4D6D">
        <w:rPr>
          <w:rFonts w:ascii="Times New Roman" w:eastAsia="Times New Roman" w:hAnsi="Times New Roman"/>
          <w:bCs/>
          <w:sz w:val="24"/>
          <w:szCs w:val="24"/>
          <w:lang w:eastAsia="ru-RU"/>
        </w:rPr>
        <w:t>подстраничные</w:t>
      </w:r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 xml:space="preserve">. Наличие </w:t>
      </w:r>
      <w:r w:rsidRPr="005D4D6D">
        <w:rPr>
          <w:rFonts w:ascii="Times New Roman" w:eastAsia="Times New Roman" w:hAnsi="Times New Roman"/>
          <w:bCs/>
          <w:sz w:val="24"/>
          <w:szCs w:val="24"/>
          <w:lang w:eastAsia="ru-RU"/>
        </w:rPr>
        <w:t>списка литературы обязательно</w:t>
      </w:r>
      <w:r w:rsidRPr="005D4D6D">
        <w:rPr>
          <w:rFonts w:ascii="Times New Roman" w:eastAsia="Times New Roman" w:hAnsi="Times New Roman"/>
          <w:sz w:val="24"/>
          <w:szCs w:val="24"/>
          <w:lang w:eastAsia="ru-RU"/>
        </w:rPr>
        <w:t>. Переносы не ставить. Допустимое количество рисунков и таблиц на авторский лист: 5 рисунков и 2 таблицы.</w:t>
      </w:r>
    </w:p>
    <w:p w:rsidR="007977CD" w:rsidRPr="00FE7FBB" w:rsidRDefault="007977CD" w:rsidP="007977CD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77CD" w:rsidRPr="005D4D6D" w:rsidRDefault="007977CD" w:rsidP="007977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D6D">
        <w:rPr>
          <w:rFonts w:ascii="Times New Roman" w:hAnsi="Times New Roman"/>
          <w:b/>
          <w:sz w:val="24"/>
          <w:szCs w:val="24"/>
        </w:rPr>
        <w:t>Определение победителя Конкурса и информация о результатах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После окончания приема заявок Конкурсная комиссия в течение 10 (Десяти) календарных дней осуществляет рассмотрение заявок на соответствие требованиям, содержащимся в данном Объявлении.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Конкурсная комиссия после рассмотрения заявок на соответствие требованиям, содержащимся в данном Объявлении, осуществляет в течение 10 (Десяти) календарных дней предварительную оценку заявок согласно критериям, приведенным в таблице 1, и передает ее результаты на утверждение НТС.</w:t>
      </w:r>
    </w:p>
    <w:p w:rsidR="007977CD" w:rsidRPr="005D4D6D" w:rsidRDefault="007977CD" w:rsidP="007977CD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5193"/>
        <w:gridCol w:w="1505"/>
        <w:gridCol w:w="1721"/>
      </w:tblGrid>
      <w:tr w:rsidR="007977CD" w:rsidTr="00C30A15">
        <w:tc>
          <w:tcPr>
            <w:tcW w:w="1152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критерия</w:t>
            </w:r>
          </w:p>
        </w:tc>
        <w:tc>
          <w:tcPr>
            <w:tcW w:w="5193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оценки заявок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Участника Конкурса</w:t>
            </w:r>
          </w:p>
        </w:tc>
        <w:tc>
          <w:tcPr>
            <w:tcW w:w="1505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Значимость критерия,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1721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Максимальная оценка,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7977CD" w:rsidTr="00C30A15">
        <w:tc>
          <w:tcPr>
            <w:tcW w:w="1152" w:type="dxa"/>
            <w:shd w:val="clear" w:color="auto" w:fill="auto"/>
          </w:tcPr>
          <w:p w:rsidR="007977CD" w:rsidRPr="005D4D6D" w:rsidRDefault="007977CD" w:rsidP="00C30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3" w:type="dxa"/>
            <w:shd w:val="clear" w:color="auto" w:fill="auto"/>
          </w:tcPr>
          <w:p w:rsidR="007977CD" w:rsidRPr="005D4D6D" w:rsidRDefault="007977CD" w:rsidP="00C30A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Публикационная активность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онкурса по теме монографии или смежной с ней</w:t>
            </w:r>
          </w:p>
        </w:tc>
        <w:tc>
          <w:tcPr>
            <w:tcW w:w="1505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1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77CD" w:rsidTr="00C30A15">
        <w:tc>
          <w:tcPr>
            <w:tcW w:w="1152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3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Полнота раскрытия и качество (в том числе стилистическое) изложения сути монографии, приведенной в аннотации заявки</w:t>
            </w:r>
          </w:p>
        </w:tc>
        <w:tc>
          <w:tcPr>
            <w:tcW w:w="1505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1" w:type="dxa"/>
            <w:shd w:val="clear" w:color="auto" w:fill="auto"/>
          </w:tcPr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7CD" w:rsidRPr="005D4D6D" w:rsidRDefault="007977CD" w:rsidP="00C3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заявок осуществляется в следующем порядке: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Оценка заявок по критерию «Публикационная активность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частника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онкурса по теме монографии или смежной с ней» осуществляется в зависимости от количества публикаций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 и их цитирования:</w:t>
      </w:r>
    </w:p>
    <w:p w:rsidR="007977CD" w:rsidRPr="005D4D6D" w:rsidRDefault="007977CD" w:rsidP="007977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наличие 10 и более публикаций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 по теме монографии или смежной с ней, и цитирование данных публикаций (не менее 5) – 5 баллов;</w:t>
      </w:r>
    </w:p>
    <w:p w:rsidR="007977CD" w:rsidRPr="005D4D6D" w:rsidRDefault="007977CD" w:rsidP="007977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наличие от 8 до 9 публикаций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 по теме монографии или смежной с ней, и цитирование данных публикаций (не менее 4) – 4 балла;</w:t>
      </w:r>
    </w:p>
    <w:p w:rsidR="007977CD" w:rsidRPr="005D4D6D" w:rsidRDefault="007977CD" w:rsidP="007977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наличие от 6 до 7 публикаций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 по теме монографии или смежной с ней, и цитирование данных публикаций (не менее 3) – 3 балла;</w:t>
      </w:r>
    </w:p>
    <w:p w:rsidR="007977CD" w:rsidRPr="005D4D6D" w:rsidRDefault="007977CD" w:rsidP="007977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наличие от 4 до 5 публикаций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 по теме монографии или смежной с ней, и цитирование данных публикаций (не менее 2) – 2 балла;</w:t>
      </w:r>
    </w:p>
    <w:p w:rsidR="007977CD" w:rsidRPr="005D4D6D" w:rsidRDefault="007977CD" w:rsidP="007977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наличие от 1 до 3 публикаций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 по теме монографии или смежной с ней, и цитирование данных публикаций (не менее 1) – 1 балл;</w:t>
      </w:r>
    </w:p>
    <w:p w:rsidR="007977CD" w:rsidRPr="005D4D6D" w:rsidRDefault="007977CD" w:rsidP="007977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отсутствие публикаций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 по теме монографии или смежной с ней – 0 баллов.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Оценка заявок по критерию «Полнота раскрытия и качество (в том числе стилистическое) изложения сути монографии, приведенной в аннотации заявки» осуществляется на основании анализа предложения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Конкурса:</w:t>
      </w:r>
    </w:p>
    <w:p w:rsidR="007977CD" w:rsidRPr="005D4D6D" w:rsidRDefault="007977CD" w:rsidP="007977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крайне высокий уровень следующих показателей: логичность и последовательность изложения; обоснование значимости работы; понятность и доступность языка изложения – 5 баллов;</w:t>
      </w:r>
    </w:p>
    <w:p w:rsidR="007977CD" w:rsidRPr="005D4D6D" w:rsidRDefault="007977CD" w:rsidP="007977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высокий уровень следующих показателей: логичность и последовательность изложения; обоснование значимости работы; понятность и доступность языка изложения – 4 балла;</w:t>
      </w:r>
    </w:p>
    <w:p w:rsidR="007977CD" w:rsidRPr="005D4D6D" w:rsidRDefault="007977CD" w:rsidP="007977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средний уровень следующих показателей: логичность и последовательность изложения; обоснование значимости работы; понятность и доступность языка изложения – 3 балла;</w:t>
      </w:r>
    </w:p>
    <w:p w:rsidR="007977CD" w:rsidRPr="005D4D6D" w:rsidRDefault="007977CD" w:rsidP="007977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низкий уровень следующих показателей: логичность и последовательность изложения; обоснование значимости работы; понятность и доступность языка изложения – 2 балла;</w:t>
      </w:r>
    </w:p>
    <w:p w:rsidR="007977CD" w:rsidRPr="005D4D6D" w:rsidRDefault="007977CD" w:rsidP="007977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крайне низкий уровень следующих показателей: логичность и последовательность изложения; обоснование значимости работы; понятность и доступность языка изложения – 1 балл;</w:t>
      </w:r>
    </w:p>
    <w:p w:rsidR="007977CD" w:rsidRPr="005D4D6D" w:rsidRDefault="007977CD" w:rsidP="007977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следующих показателей: логичность и последовательность изложения; обоснование значимости работы; понятность и доступность языка изложения – 0 баллов.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Совокупная значимость критериев равна 100%, по каждому из критериев Конкурсной комиссией выставляется значение от 0 до 5 баллов, оценка критерия проводится путем прямого (открытого) голосования всеми членами Конкурсной комиссии по мере соответствия заявки требованиям, приведенным в </w:t>
      </w:r>
      <w:proofErr w:type="spellStart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а </w:t>
      </w:r>
      <w:proofErr w:type="gramStart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б</w:t>
      </w:r>
      <w:proofErr w:type="gramEnd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Рейтинг заявки по конкретному критерию рассчитывается как произведение коэффициента значимости на балл. Дробное значение рейтинга округляется до двух десятичных знаков после запятой по математическим правилам округления.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д) Присуждение каждой заявке порядкового номера по мере </w:t>
      </w:r>
      <w:proofErr w:type="gramStart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уменьшения степени привлекательности предложения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 Конкурса</w:t>
      </w:r>
      <w:proofErr w:type="gramEnd"/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производится по результатам расчета итогового рейтинга по каждой заявке. Заявке, набравшей наибольший итоговый рейтинг, присваивается первый номер. Первый номер может быть присвоен нескольким заявкам, набравшим наибольший итоговый рейтинг. Заявкам, следующим в рейтинге, присваивается 2 и 3-е место соответственно.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Итоговый рейтинг заявки рассчитан путем сложения рейтингов по рассматриваемым критериям оценки заявок.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Науч</w:t>
      </w:r>
      <w:r w:rsid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но-технический совет </w:t>
      </w:r>
      <w:r w:rsidR="00876607" w:rsidRPr="00876607">
        <w:rPr>
          <w:rFonts w:ascii="Times New Roman" w:hAnsi="Times New Roman"/>
          <w:sz w:val="24"/>
          <w:szCs w:val="24"/>
        </w:rPr>
        <w:t>НИЦ «Курчатовский институт» – ВИАМ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течение 40 (Сорока) календарных дней осуществляет проведение заключительной экспертизы заявок. Решение по итогам Конкурса принимается на заседании Научно-технического совета открытым голосованием по каждой кандидатуре отдельно и передается в Конкурсную комиссию для составления протокола, определяющего победителя Конкурса.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Конкурсная комиссия в течение 60 (Шестидесяти)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календарных 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дней от даты окончания приема заявок на участие в Конкурсе составляет протокол, определяющий победителя Конкурса, в котором указываются: состав участников Конкурса; основания для вынесения решения о результатах Конкурса; список победителей Конкурса. 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 Секретарь Конкурсной комиссии в течение 5 (Пяти) рабочих дней от даты подписания протокола посредством факса и/или почты, и/или электронной почты направляет победителю Конкурса протокол и проект договора (Приложение 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3а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настоящему Положению). Победитель Ко</w:t>
      </w:r>
      <w:r w:rsid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нкурса предоставляет </w:t>
      </w:r>
      <w:r w:rsidR="00876607" w:rsidRPr="00876607">
        <w:rPr>
          <w:rFonts w:ascii="Times New Roman" w:hAnsi="Times New Roman"/>
          <w:sz w:val="24"/>
          <w:szCs w:val="24"/>
        </w:rPr>
        <w:t>НИЦ</w:t>
      </w:r>
      <w:r w:rsidR="00876607" w:rsidRPr="00876607">
        <w:rPr>
          <w:rFonts w:ascii="Times New Roman" w:hAnsi="Times New Roman"/>
          <w:sz w:val="28"/>
          <w:szCs w:val="28"/>
        </w:rPr>
        <w:t xml:space="preserve"> «</w:t>
      </w:r>
      <w:r w:rsidR="00876607" w:rsidRPr="00876607">
        <w:rPr>
          <w:rFonts w:ascii="Times New Roman" w:hAnsi="Times New Roman"/>
          <w:sz w:val="24"/>
          <w:szCs w:val="24"/>
        </w:rPr>
        <w:t>Курчатовский институт» – ВИАМ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подписанный экземпляр данного договора в течение 5 (Пяти) рабочих дней со дня его получения. Для подписания договора победитель Конкурса должен предоставить на согласование Конкурсной комиссии План-график создания монографии, включающий описание работы по разделам </w:t>
      </w:r>
      <w:r w:rsidRP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монографии и сроки ее выполнения. В случае отказа победителя Конкурса от</w:t>
      </w:r>
      <w:r w:rsidR="00876607" w:rsidRP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подписания договора </w:t>
      </w:r>
      <w:r w:rsidR="00876607" w:rsidRPr="00876607">
        <w:rPr>
          <w:rFonts w:ascii="Times New Roman" w:hAnsi="Times New Roman"/>
          <w:sz w:val="24"/>
          <w:szCs w:val="24"/>
        </w:rPr>
        <w:t>НИЦ «Курчатовский институт» – ВИАМ</w:t>
      </w:r>
      <w:r w:rsidRP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вправе взыскать штраф в размере 30% от стоимости вознаграждения, установленного за плановый объем монографии, указанный в заявке победителя Конкурса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Протокол, определяющий победителя Конкурса, в течение 5 (Пяти) рабочих дней от даты его подписания размещается на официальном </w:t>
      </w:r>
      <w:r w:rsidR="0087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сайте </w:t>
      </w:r>
      <w:r w:rsidR="00876607" w:rsidRPr="00876607">
        <w:rPr>
          <w:rFonts w:ascii="Times New Roman" w:hAnsi="Times New Roman"/>
          <w:sz w:val="24"/>
          <w:szCs w:val="24"/>
        </w:rPr>
        <w:t>НИЦ</w:t>
      </w:r>
      <w:r w:rsidR="00876607" w:rsidRPr="00876607">
        <w:rPr>
          <w:rFonts w:ascii="Times New Roman" w:hAnsi="Times New Roman"/>
          <w:sz w:val="28"/>
          <w:szCs w:val="28"/>
        </w:rPr>
        <w:t xml:space="preserve"> «</w:t>
      </w:r>
      <w:r w:rsidR="00876607" w:rsidRPr="00876607">
        <w:rPr>
          <w:rFonts w:ascii="Times New Roman" w:hAnsi="Times New Roman"/>
          <w:sz w:val="24"/>
          <w:szCs w:val="24"/>
        </w:rPr>
        <w:t>Курчатовский институт» – ВИАМ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Рецензии или иные обоснования принятого решения участникам Конкурса не предоставляются. Результаты экспертизы представленных проектов не пересматриваются.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В случае возникновения обстоятельств, при которых проведение работ по написанию монографии становится невозможным, победитель Конкурса ставит об этом в известность Конкурсную комиссию в недельный срок с момента возникновения указанных обстоятельств.</w:t>
      </w:r>
    </w:p>
    <w:p w:rsidR="007977CD" w:rsidRPr="005D4D6D" w:rsidRDefault="007977CD" w:rsidP="0079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977CD" w:rsidRDefault="007977CD" w:rsidP="00797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D6D">
        <w:rPr>
          <w:rFonts w:ascii="Times New Roman" w:hAnsi="Times New Roman"/>
          <w:b/>
          <w:sz w:val="24"/>
          <w:szCs w:val="24"/>
        </w:rPr>
        <w:t xml:space="preserve">Заявки на участие в Конкурсе следует отправлять по электронной почте: </w:t>
      </w:r>
      <w:hyperlink r:id="rId9" w:history="1">
        <w:r w:rsidRPr="00125A2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journal</w:t>
        </w:r>
        <w:r w:rsidRPr="00125A23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proofErr w:type="spellStart"/>
        <w:r w:rsidRPr="00125A2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viam</w:t>
        </w:r>
        <w:proofErr w:type="spellEnd"/>
        <w:r w:rsidRPr="00125A23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125A2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D8779E">
        <w:rPr>
          <w:rFonts w:ascii="Times New Roman" w:hAnsi="Times New Roman"/>
          <w:b/>
          <w:sz w:val="24"/>
          <w:szCs w:val="24"/>
        </w:rPr>
        <w:t xml:space="preserve"> </w:t>
      </w:r>
      <w:r w:rsidRPr="005D4D6D">
        <w:rPr>
          <w:rFonts w:ascii="Times New Roman" w:hAnsi="Times New Roman"/>
          <w:b/>
          <w:sz w:val="24"/>
          <w:szCs w:val="24"/>
        </w:rPr>
        <w:t xml:space="preserve">или по адресу: </w:t>
      </w:r>
      <w:r>
        <w:rPr>
          <w:rFonts w:ascii="Times New Roman" w:hAnsi="Times New Roman"/>
          <w:b/>
          <w:sz w:val="24"/>
          <w:szCs w:val="24"/>
        </w:rPr>
        <w:t>105005, Россия, г. Москва, ул. Радио, д. 17</w:t>
      </w:r>
      <w:r w:rsidRPr="005D4D6D">
        <w:rPr>
          <w:rFonts w:ascii="Times New Roman" w:hAnsi="Times New Roman"/>
          <w:b/>
          <w:sz w:val="24"/>
          <w:szCs w:val="24"/>
        </w:rPr>
        <w:t>.</w:t>
      </w:r>
    </w:p>
    <w:p w:rsidR="007977CD" w:rsidRDefault="007977CD" w:rsidP="00797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информация по телефону: (499) 263-87-18.</w:t>
      </w:r>
    </w:p>
    <w:p w:rsidR="007977CD" w:rsidRDefault="007977CD" w:rsidP="00797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77CD" w:rsidRDefault="007977CD" w:rsidP="007977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977CD" w:rsidRDefault="007977CD" w:rsidP="00797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77CD" w:rsidRPr="00876607" w:rsidRDefault="007977CD" w:rsidP="00876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1. </w:t>
      </w:r>
      <w:r w:rsidRPr="005D4D6D">
        <w:rPr>
          <w:rFonts w:ascii="Times New Roman" w:hAnsi="Times New Roman"/>
          <w:b/>
          <w:sz w:val="28"/>
          <w:szCs w:val="28"/>
        </w:rPr>
        <w:t>Заявка н</w:t>
      </w:r>
      <w:r w:rsidR="00876607">
        <w:rPr>
          <w:rFonts w:ascii="Times New Roman" w:hAnsi="Times New Roman"/>
          <w:b/>
          <w:sz w:val="28"/>
          <w:szCs w:val="28"/>
        </w:rPr>
        <w:t xml:space="preserve">а участие в Конкурсе </w:t>
      </w:r>
      <w:r w:rsidR="00876607" w:rsidRPr="00876607">
        <w:rPr>
          <w:rFonts w:ascii="Times New Roman" w:hAnsi="Times New Roman"/>
          <w:b/>
          <w:sz w:val="28"/>
          <w:szCs w:val="28"/>
        </w:rPr>
        <w:t>НИЦ «Курчатовский институт» – ВИАМ</w:t>
      </w:r>
      <w:r w:rsidR="00876607">
        <w:rPr>
          <w:rFonts w:ascii="Times New Roman" w:hAnsi="Times New Roman"/>
          <w:b/>
          <w:sz w:val="28"/>
          <w:szCs w:val="28"/>
        </w:rPr>
        <w:t xml:space="preserve"> </w:t>
      </w:r>
      <w:r w:rsidRPr="005D4D6D">
        <w:rPr>
          <w:rFonts w:ascii="Times New Roman" w:hAnsi="Times New Roman"/>
          <w:b/>
          <w:sz w:val="28"/>
          <w:szCs w:val="28"/>
        </w:rPr>
        <w:t xml:space="preserve">на создание монографии </w:t>
      </w:r>
      <w:r>
        <w:rPr>
          <w:rFonts w:ascii="Times New Roman" w:hAnsi="Times New Roman"/>
          <w:b/>
          <w:sz w:val="28"/>
          <w:szCs w:val="28"/>
        </w:rPr>
        <w:t>по современному материаловедению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3402"/>
        <w:gridCol w:w="5670"/>
      </w:tblGrid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Тематическая направленность монографии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Название монографии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ФИО участника/участников Конкурса полностью, контактные телефоны, 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D4D6D">
              <w:rPr>
                <w:rFonts w:ascii="Times New Roman" w:hAnsi="Times New Roman"/>
                <w:sz w:val="24"/>
                <w:szCs w:val="24"/>
              </w:rPr>
              <w:t>-</w:t>
            </w:r>
            <w:r w:rsidRPr="005D4D6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D4D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должность, ученая степень и звание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Плановый объем монографии в авторских листах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Срок предоставления рукописи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rPr>
          <w:trHeight w:val="5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Аннотация, </w:t>
            </w:r>
            <w:r w:rsidRPr="005D4D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которой отражена суть монографии: основная цель работы; обоснование ее значимости; описание имеющегося задела; план работы на предстоящий период; ожидаемые результаты</w:t>
            </w: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 xml:space="preserve"> (не менее 7000 знаков)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Рубрикатор монографии: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1. Глава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1.1. Раздел 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1.1.1. Подраздел 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Имеющиеся публикации по теме монографии или смежной с ней, 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цитирование данных публикаций</w:t>
            </w:r>
            <w:r w:rsidRPr="005D4D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9.</w:t>
            </w:r>
            <w:r w:rsidRPr="005D4D6D">
              <w:rPr>
                <w:rFonts w:ascii="Symbol" w:hAnsi="Symbol"/>
                <w:sz w:val="24"/>
                <w:szCs w:val="24"/>
              </w:rPr>
              <w:sym w:font="Symbol" w:char="F02A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статей в ведущих научных журналах, в том числе зарубежных, включенных в систему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gram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 лет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4D6D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государственного контракта на выполнение научно-исследовательской работы в рамках действующих федеральных целевых программ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последние 10 лет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Подпись участника/участников Конкурса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Сведения о рецензентах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Место работы и должность, ученая степень и звание, контактный телефон и адрес электронной почты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Место работы и должность, ученая степень и звание, контактный телефон и адрес электронной почты</w:t>
            </w:r>
          </w:p>
        </w:tc>
      </w:tr>
    </w:tbl>
    <w:p w:rsidR="007977CD" w:rsidRPr="00876607" w:rsidRDefault="007977CD" w:rsidP="007977CD">
      <w:pPr>
        <w:spacing w:after="10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D4D6D">
        <w:rPr>
          <w:rFonts w:ascii="Symbol" w:hAnsi="Symbol"/>
          <w:sz w:val="20"/>
          <w:szCs w:val="20"/>
        </w:rPr>
        <w:sym w:font="Symbol" w:char="F02A"/>
      </w:r>
      <w:r w:rsidRPr="005D4D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участников Конкурса, не состоящих в т</w:t>
      </w:r>
      <w:r w:rsidR="0087660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рудовых отношениях </w:t>
      </w:r>
      <w:r w:rsidR="00876607" w:rsidRPr="0087660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 </w:t>
      </w:r>
      <w:r w:rsidR="00876607" w:rsidRPr="00876607">
        <w:rPr>
          <w:rFonts w:ascii="Times New Roman" w:hAnsi="Times New Roman"/>
          <w:sz w:val="20"/>
          <w:szCs w:val="20"/>
        </w:rPr>
        <w:t>НИЦ «Курчатовский институт» – ВИАМ</w:t>
      </w:r>
    </w:p>
    <w:p w:rsidR="007977CD" w:rsidRPr="00FE7FBB" w:rsidRDefault="007977CD" w:rsidP="007977CD">
      <w:pPr>
        <w:spacing w:after="100" w:line="240" w:lineRule="auto"/>
        <w:rPr>
          <w:rFonts w:ascii="Times New Roman" w:hAnsi="Times New Roman"/>
          <w:sz w:val="24"/>
          <w:szCs w:val="24"/>
        </w:rPr>
      </w:pP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</w:rPr>
        <w:t xml:space="preserve">Настоящим участник Конкурса дает согласие на создание монографии на условиях, указанных в объявлении о проведении Конкурса. В случае отказа от заключения договора на создание монографии победителем Конкурса </w:t>
      </w:r>
      <w:proofErr w:type="gramStart"/>
      <w:r w:rsidRPr="005D4D6D">
        <w:rPr>
          <w:rFonts w:ascii="Times New Roman" w:hAnsi="Times New Roman"/>
          <w:sz w:val="24"/>
          <w:szCs w:val="24"/>
        </w:rPr>
        <w:t>оплачивается штраф в</w:t>
      </w:r>
      <w:proofErr w:type="gramEnd"/>
      <w:r w:rsidRPr="005D4D6D">
        <w:rPr>
          <w:rFonts w:ascii="Times New Roman" w:hAnsi="Times New Roman"/>
          <w:sz w:val="24"/>
          <w:szCs w:val="24"/>
        </w:rPr>
        <w:t xml:space="preserve"> размере 30% от стоимости вознаграждения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установленного за плановый объем монографии, указанный в заявке победителя Конкурса.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7C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</w:rPr>
        <w:t xml:space="preserve">Настоящим </w:t>
      </w:r>
      <w:r w:rsidRPr="00876607">
        <w:rPr>
          <w:rFonts w:ascii="Times New Roman" w:hAnsi="Times New Roman"/>
          <w:sz w:val="24"/>
          <w:szCs w:val="24"/>
        </w:rPr>
        <w:t>участник Ко</w:t>
      </w:r>
      <w:r w:rsidR="00876607" w:rsidRPr="00876607">
        <w:rPr>
          <w:rFonts w:ascii="Times New Roman" w:hAnsi="Times New Roman"/>
          <w:sz w:val="24"/>
          <w:szCs w:val="24"/>
        </w:rPr>
        <w:t>нкурса дает согласие НИЦ «Курчатовский институт» – ВИАМ</w:t>
      </w:r>
      <w:r w:rsidRPr="00876607">
        <w:rPr>
          <w:rFonts w:ascii="Times New Roman" w:hAnsi="Times New Roman"/>
          <w:sz w:val="24"/>
          <w:szCs w:val="24"/>
        </w:rPr>
        <w:t xml:space="preserve"> на использование, обработку и хранение его персональных данных в связи с участием в настоящем Конкурсе.</w:t>
      </w:r>
    </w:p>
    <w:p w:rsidR="007977CD" w:rsidRPr="001823A7" w:rsidRDefault="007977CD" w:rsidP="007977CD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823A7">
        <w:rPr>
          <w:rFonts w:ascii="Times New Roman" w:hAnsi="Times New Roman"/>
          <w:b/>
          <w:i/>
          <w:sz w:val="20"/>
          <w:szCs w:val="20"/>
        </w:rPr>
        <w:lastRenderedPageBreak/>
        <w:t xml:space="preserve">Приложение </w:t>
      </w:r>
      <w:r w:rsidRPr="001823A7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О</w:t>
      </w:r>
      <w:r w:rsidRPr="001823A7">
        <w:rPr>
          <w:rFonts w:ascii="Times New Roman" w:hAnsi="Times New Roman"/>
          <w:i/>
        </w:rPr>
        <w:t xml:space="preserve">бъявлению о </w:t>
      </w:r>
    </w:p>
    <w:p w:rsidR="00876607" w:rsidRDefault="00876607" w:rsidP="007977CD">
      <w:pPr>
        <w:spacing w:after="0" w:line="240" w:lineRule="auto"/>
        <w:jc w:val="right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проведении</w:t>
      </w:r>
      <w:proofErr w:type="gramEnd"/>
      <w:r>
        <w:rPr>
          <w:rFonts w:ascii="Times New Roman" w:hAnsi="Times New Roman"/>
          <w:i/>
        </w:rPr>
        <w:t xml:space="preserve"> Конкурса </w:t>
      </w:r>
    </w:p>
    <w:p w:rsidR="00876607" w:rsidRDefault="00876607" w:rsidP="007977CD">
      <w:pPr>
        <w:spacing w:after="0" w:line="240" w:lineRule="auto"/>
        <w:jc w:val="right"/>
        <w:rPr>
          <w:rFonts w:ascii="Times New Roman" w:hAnsi="Times New Roman"/>
        </w:rPr>
      </w:pPr>
      <w:r w:rsidRPr="00876607">
        <w:rPr>
          <w:rFonts w:ascii="Times New Roman" w:hAnsi="Times New Roman"/>
        </w:rPr>
        <w:t>НИЦ «Курчатовский институт» – ВИАМ</w:t>
      </w:r>
    </w:p>
    <w:p w:rsidR="007977CD" w:rsidRPr="001823A7" w:rsidRDefault="007977CD" w:rsidP="00876607">
      <w:pPr>
        <w:spacing w:after="0" w:line="240" w:lineRule="auto"/>
        <w:jc w:val="right"/>
        <w:rPr>
          <w:rFonts w:ascii="Times New Roman" w:hAnsi="Times New Roman"/>
          <w:i/>
        </w:rPr>
      </w:pPr>
      <w:r w:rsidRPr="00876607">
        <w:rPr>
          <w:rFonts w:ascii="Times New Roman" w:hAnsi="Times New Roman"/>
          <w:i/>
        </w:rPr>
        <w:t xml:space="preserve"> </w:t>
      </w:r>
      <w:r w:rsidRPr="001823A7">
        <w:rPr>
          <w:rFonts w:ascii="Times New Roman" w:hAnsi="Times New Roman"/>
          <w:i/>
        </w:rPr>
        <w:t xml:space="preserve">на создание </w:t>
      </w:r>
    </w:p>
    <w:p w:rsidR="007977CD" w:rsidRPr="001823A7" w:rsidRDefault="007977CD" w:rsidP="007977CD">
      <w:pPr>
        <w:spacing w:after="0" w:line="240" w:lineRule="auto"/>
        <w:jc w:val="right"/>
        <w:rPr>
          <w:rFonts w:ascii="Times New Roman" w:hAnsi="Times New Roman"/>
        </w:rPr>
      </w:pPr>
      <w:r w:rsidRPr="001823A7">
        <w:rPr>
          <w:rFonts w:ascii="Times New Roman" w:hAnsi="Times New Roman"/>
          <w:i/>
        </w:rPr>
        <w:t>монографий по современному материаловедению</w:t>
      </w:r>
    </w:p>
    <w:p w:rsidR="007977CD" w:rsidRPr="001823A7" w:rsidRDefault="007977CD" w:rsidP="007977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977CD" w:rsidRPr="0018613A" w:rsidRDefault="007977CD" w:rsidP="007977CD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 w:line="240" w:lineRule="auto"/>
        <w:jc w:val="center"/>
        <w:rPr>
          <w:rStyle w:val="a6"/>
          <w:sz w:val="24"/>
          <w:szCs w:val="24"/>
        </w:rPr>
      </w:pPr>
      <w:r w:rsidRPr="0018613A">
        <w:rPr>
          <w:rStyle w:val="a6"/>
          <w:sz w:val="24"/>
          <w:szCs w:val="24"/>
        </w:rPr>
        <w:t>Требования к структуре и содержанию учебного пособия</w:t>
      </w:r>
    </w:p>
    <w:p w:rsidR="007977CD" w:rsidRPr="0018613A" w:rsidRDefault="007977CD" w:rsidP="00797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8613A">
        <w:rPr>
          <w:rFonts w:ascii="Times New Roman" w:hAnsi="Times New Roman"/>
          <w:b/>
          <w:bCs/>
          <w:sz w:val="24"/>
          <w:szCs w:val="24"/>
        </w:rPr>
        <w:t>Учебное пособие</w:t>
      </w:r>
      <w:r>
        <w:rPr>
          <w:rStyle w:val="a9"/>
          <w:rFonts w:ascii="Times New Roman" w:hAnsi="Times New Roman"/>
          <w:b/>
          <w:bCs/>
          <w:sz w:val="24"/>
          <w:szCs w:val="24"/>
        </w:rPr>
        <w:footnoteReference w:id="1"/>
      </w:r>
      <w:r w:rsidRPr="0018613A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18613A">
        <w:rPr>
          <w:rFonts w:ascii="Times New Roman" w:hAnsi="Times New Roman"/>
          <w:sz w:val="24"/>
          <w:szCs w:val="24"/>
        </w:rPr>
        <w:t>учебно-теоретическое издание, официально утвержденное в качестве данного вида издания, соответствующее учебной программе, частично или полностью заменяющее или дополняющее учебник. Каждый раздел учебного пособия сопровождается контрольными вопросами и/или заданиями обучающего характера, призванными помочь в освоении знаний по дисциплине.</w:t>
      </w:r>
    </w:p>
    <w:p w:rsidR="007977CD" w:rsidRPr="0018613A" w:rsidRDefault="007977CD" w:rsidP="00797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 xml:space="preserve">Обычно учебное пособие выпускается в дополнение к учебнику. Однако учебное пособие может: </w:t>
      </w:r>
    </w:p>
    <w:p w:rsidR="007977CD" w:rsidRPr="0018613A" w:rsidRDefault="007977CD" w:rsidP="007977C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18613A">
        <w:rPr>
          <w:rFonts w:ascii="Times New Roman" w:hAnsi="Times New Roman"/>
          <w:sz w:val="24"/>
          <w:szCs w:val="24"/>
        </w:rPr>
        <w:t>временно являться основным учебным изданием по дисциплине вследствие изменения государственного стандарта ВПО специальности и появления в учебных планах новой дисциплины федерального компонента, по которой пока еще не создано учебника, допущенного или рекомендованного Министерством образования России;</w:t>
      </w:r>
    </w:p>
    <w:p w:rsidR="007977CD" w:rsidRPr="0018613A" w:rsidRDefault="007977CD" w:rsidP="007977C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18613A">
        <w:rPr>
          <w:rFonts w:ascii="Times New Roman" w:hAnsi="Times New Roman"/>
          <w:sz w:val="24"/>
          <w:szCs w:val="24"/>
        </w:rPr>
        <w:t xml:space="preserve">являться основным учебным изданием по дисциплине, относящейся к региональному компоненту, компоненту по выбору, факультативному компоненту. </w:t>
      </w:r>
    </w:p>
    <w:p w:rsidR="007977CD" w:rsidRPr="0018613A" w:rsidRDefault="007977CD" w:rsidP="00797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Поскольку пособие создается более оперативно, чем учебник, то в него включается новый, более актуальный материал по конкретной дисциплине. Тем не менее, этот материал должен подаваться в русле фундаментальных знаний, изложенных в учебнике.</w:t>
      </w:r>
    </w:p>
    <w:p w:rsidR="007977CD" w:rsidRPr="0018613A" w:rsidRDefault="007977CD" w:rsidP="00797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613A">
        <w:rPr>
          <w:rFonts w:ascii="Times New Roman" w:hAnsi="Times New Roman"/>
          <w:i/>
          <w:iCs/>
          <w:sz w:val="24"/>
          <w:szCs w:val="24"/>
        </w:rPr>
        <w:t>В отличие от учебника пособие может включать не только апробированные, общепризнанные знания и положения. Оно может также включать спорные вопросы, демонстрирующие разные точки зрения на решение той или иной проблемы.</w:t>
      </w:r>
    </w:p>
    <w:p w:rsidR="007977CD" w:rsidRPr="0018613A" w:rsidRDefault="007977CD" w:rsidP="0079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b/>
          <w:sz w:val="24"/>
          <w:szCs w:val="24"/>
        </w:rPr>
        <w:t>Обязательные требования</w:t>
      </w:r>
      <w:r w:rsidRPr="0018613A">
        <w:rPr>
          <w:rFonts w:ascii="Times New Roman" w:hAnsi="Times New Roman"/>
          <w:sz w:val="24"/>
          <w:szCs w:val="24"/>
        </w:rPr>
        <w:t xml:space="preserve"> к учебному пособию (далее – УП):</w:t>
      </w:r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В структуру УП входят следующие обязательные элементы: оглавление (содержание), введение, заключение, справочно-библиографический аппарат.</w:t>
      </w:r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 xml:space="preserve"> Введение включает следующие аспекты:</w:t>
      </w:r>
    </w:p>
    <w:p w:rsidR="007977CD" w:rsidRPr="0018613A" w:rsidRDefault="007977CD" w:rsidP="007977CD">
      <w:pPr>
        <w:numPr>
          <w:ilvl w:val="1"/>
          <w:numId w:val="3"/>
        </w:numPr>
        <w:tabs>
          <w:tab w:val="clear" w:pos="2160"/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цель (назначение) издания, соответствие учебной программе;</w:t>
      </w:r>
    </w:p>
    <w:p w:rsidR="007977CD" w:rsidRPr="0018613A" w:rsidRDefault="007977CD" w:rsidP="007977CD">
      <w:pPr>
        <w:numPr>
          <w:ilvl w:val="1"/>
          <w:numId w:val="3"/>
        </w:numPr>
        <w:tabs>
          <w:tab w:val="clear" w:pos="2160"/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читательский адрес;</w:t>
      </w:r>
    </w:p>
    <w:p w:rsidR="007977CD" w:rsidRPr="0018613A" w:rsidRDefault="007977CD" w:rsidP="007977CD">
      <w:pPr>
        <w:numPr>
          <w:ilvl w:val="1"/>
          <w:numId w:val="3"/>
        </w:numPr>
        <w:tabs>
          <w:tab w:val="clear" w:pos="2160"/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вид учебного издания и его место в системе других учебных изданий по дисциплине, актуальность, степень новизны, особенности авторской концепции;</w:t>
      </w:r>
    </w:p>
    <w:p w:rsidR="007977CD" w:rsidRPr="0018613A" w:rsidRDefault="007977CD" w:rsidP="007977CD">
      <w:pPr>
        <w:numPr>
          <w:ilvl w:val="1"/>
          <w:numId w:val="3"/>
        </w:numPr>
        <w:tabs>
          <w:tab w:val="clear" w:pos="2160"/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методические рекомендации по использованию УП в учебном процессе;</w:t>
      </w:r>
    </w:p>
    <w:p w:rsidR="007977CD" w:rsidRPr="0018613A" w:rsidRDefault="007977CD" w:rsidP="007977CD">
      <w:pPr>
        <w:numPr>
          <w:ilvl w:val="1"/>
          <w:numId w:val="3"/>
        </w:numPr>
        <w:tabs>
          <w:tab w:val="clear" w:pos="2160"/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общая характеристика структуры УП, особенности эффективного использования аппарата издания (дидактического, библиографического, справочного и т. п.).</w:t>
      </w:r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Содержание УП должно соответствовать ГОС ВПО и утвержденной учебной программе дисциплины. Рубрики основой части текста (разделы, главы, параграфы) должны соответствовать логике изложения учебного материала и тематическому плану учебной дисциплины.</w:t>
      </w:r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Тематические разделы должны содержать выводы, обобщающие учебный материал раздела, и дидактический аппарат (контрольные вопросы, примеры, упражнения, задачи, тесты) для самоконтроля студентов.</w:t>
      </w:r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613A">
        <w:rPr>
          <w:rFonts w:ascii="Times New Roman" w:hAnsi="Times New Roman"/>
          <w:sz w:val="24"/>
          <w:szCs w:val="24"/>
        </w:rPr>
        <w:t>Необходимо соблюдать последовательность изложения учебного материала по принципу «от простого к сложному»; определения и формулировки должны соответствовать общепринятой научной терминологии.</w:t>
      </w:r>
      <w:proofErr w:type="gramEnd"/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Заключение выполняет функцию обобщения учебного материала и включает следующие аспекты:</w:t>
      </w:r>
    </w:p>
    <w:p w:rsidR="007977CD" w:rsidRPr="0018613A" w:rsidRDefault="007977CD" w:rsidP="007977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lastRenderedPageBreak/>
        <w:t>основные итоги и выводы;</w:t>
      </w:r>
    </w:p>
    <w:p w:rsidR="007977CD" w:rsidRPr="0018613A" w:rsidRDefault="007977CD" w:rsidP="007977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 xml:space="preserve">характеристика нерешенных и </w:t>
      </w:r>
      <w:proofErr w:type="spellStart"/>
      <w:r w:rsidRPr="0018613A">
        <w:rPr>
          <w:rFonts w:ascii="Times New Roman" w:hAnsi="Times New Roman"/>
          <w:sz w:val="24"/>
          <w:szCs w:val="24"/>
        </w:rPr>
        <w:t>труднорешаемых</w:t>
      </w:r>
      <w:proofErr w:type="spellEnd"/>
      <w:r w:rsidRPr="0018613A">
        <w:rPr>
          <w:rFonts w:ascii="Times New Roman" w:hAnsi="Times New Roman"/>
          <w:sz w:val="24"/>
          <w:szCs w:val="24"/>
        </w:rPr>
        <w:t xml:space="preserve"> проблем;</w:t>
      </w:r>
    </w:p>
    <w:p w:rsidR="007977CD" w:rsidRPr="0018613A" w:rsidRDefault="007977CD" w:rsidP="007977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рекомендации по дальнейшему самостоятельному изучению предмета;</w:t>
      </w:r>
    </w:p>
    <w:p w:rsidR="007977CD" w:rsidRPr="0018613A" w:rsidRDefault="007977CD" w:rsidP="007977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>перспективы развития дисциплины (отрасли науки).</w:t>
      </w:r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 xml:space="preserve">Справочно-библиографический аппарат (с учетом вида издания) состоит из </w:t>
      </w:r>
      <w:proofErr w:type="spellStart"/>
      <w:r w:rsidRPr="0018613A">
        <w:rPr>
          <w:rFonts w:ascii="Times New Roman" w:hAnsi="Times New Roman"/>
          <w:sz w:val="24"/>
          <w:szCs w:val="24"/>
        </w:rPr>
        <w:t>прикнижной</w:t>
      </w:r>
      <w:proofErr w:type="spellEnd"/>
      <w:r w:rsidRPr="0018613A">
        <w:rPr>
          <w:rFonts w:ascii="Times New Roman" w:hAnsi="Times New Roman"/>
          <w:sz w:val="24"/>
          <w:szCs w:val="24"/>
        </w:rPr>
        <w:t xml:space="preserve"> аннотации с читательским адресом, библиографического списка, списка сокращений и условных обозначений, указателей (именной, алфавитно-предметный, хронологический, систематический и т. д.). В учебные издания объемом свыше 10 авторских листов рекомендуется включать именной и алфавитно-предметный указатели. </w:t>
      </w:r>
    </w:p>
    <w:p w:rsidR="007977CD" w:rsidRPr="0018613A" w:rsidRDefault="007977CD" w:rsidP="007977CD">
      <w:pPr>
        <w:numPr>
          <w:ilvl w:val="0"/>
          <w:numId w:val="3"/>
        </w:numPr>
        <w:tabs>
          <w:tab w:val="clear" w:pos="1440"/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613A">
        <w:rPr>
          <w:rFonts w:ascii="Times New Roman" w:hAnsi="Times New Roman"/>
          <w:sz w:val="24"/>
          <w:szCs w:val="24"/>
        </w:rPr>
        <w:t xml:space="preserve">Библиографический список оформляется в соответствии с требованиями ГОСТ </w:t>
      </w:r>
      <w:proofErr w:type="gramStart"/>
      <w:r w:rsidRPr="0018613A">
        <w:rPr>
          <w:rFonts w:ascii="Times New Roman" w:hAnsi="Times New Roman"/>
          <w:sz w:val="24"/>
          <w:szCs w:val="24"/>
        </w:rPr>
        <w:t>Р</w:t>
      </w:r>
      <w:proofErr w:type="gramEnd"/>
      <w:r w:rsidRPr="0018613A">
        <w:rPr>
          <w:rFonts w:ascii="Times New Roman" w:hAnsi="Times New Roman"/>
          <w:sz w:val="24"/>
          <w:szCs w:val="24"/>
        </w:rPr>
        <w:t xml:space="preserve"> 7.0.5</w:t>
      </w:r>
      <w:r w:rsidRPr="0018613A">
        <w:rPr>
          <w:rFonts w:ascii="Times New Roman" w:hAnsi="Times New Roman"/>
          <w:color w:val="008000"/>
          <w:sz w:val="24"/>
          <w:szCs w:val="24"/>
        </w:rPr>
        <w:t>.</w:t>
      </w:r>
      <w:r w:rsidRPr="0018613A">
        <w:rPr>
          <w:rFonts w:ascii="Times New Roman" w:hAnsi="Times New Roman"/>
          <w:sz w:val="24"/>
          <w:szCs w:val="24"/>
        </w:rPr>
        <w:t xml:space="preserve">–2008 «Библиографическая ссылка. Общие требования и правила составления». </w:t>
      </w:r>
    </w:p>
    <w:p w:rsidR="007977CD" w:rsidRDefault="007977CD" w:rsidP="007977CD">
      <w:pPr>
        <w:rPr>
          <w:rFonts w:ascii="Times New Roman" w:hAnsi="Times New Roman"/>
        </w:rPr>
      </w:pPr>
    </w:p>
    <w:p w:rsidR="007977CD" w:rsidRDefault="007977CD" w:rsidP="007977CD">
      <w:pPr>
        <w:rPr>
          <w:rFonts w:ascii="Times New Roman" w:hAnsi="Times New Roman"/>
          <w:sz w:val="24"/>
          <w:szCs w:val="24"/>
        </w:rPr>
      </w:pPr>
    </w:p>
    <w:p w:rsidR="00BC7B2A" w:rsidRDefault="00BC7B2A"/>
    <w:sectPr w:rsidR="00BC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57" w:rsidRDefault="00CD5C57" w:rsidP="007977CD">
      <w:pPr>
        <w:spacing w:after="0" w:line="240" w:lineRule="auto"/>
      </w:pPr>
      <w:r>
        <w:separator/>
      </w:r>
    </w:p>
  </w:endnote>
  <w:endnote w:type="continuationSeparator" w:id="0">
    <w:p w:rsidR="00CD5C57" w:rsidRDefault="00CD5C57" w:rsidP="0079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57" w:rsidRDefault="00CD5C57" w:rsidP="007977CD">
      <w:pPr>
        <w:spacing w:after="0" w:line="240" w:lineRule="auto"/>
      </w:pPr>
      <w:r>
        <w:separator/>
      </w:r>
    </w:p>
  </w:footnote>
  <w:footnote w:type="continuationSeparator" w:id="0">
    <w:p w:rsidR="00CD5C57" w:rsidRDefault="00CD5C57" w:rsidP="007977CD">
      <w:pPr>
        <w:spacing w:after="0" w:line="240" w:lineRule="auto"/>
      </w:pPr>
      <w:r>
        <w:continuationSeparator/>
      </w:r>
    </w:p>
  </w:footnote>
  <w:footnote w:id="1">
    <w:p w:rsidR="007977CD" w:rsidRPr="00EA15D3" w:rsidRDefault="007977CD" w:rsidP="007977CD">
      <w:pPr>
        <w:jc w:val="both"/>
        <w:rPr>
          <w:rFonts w:ascii="Times New Roman" w:hAnsi="Times New Roman"/>
        </w:rPr>
      </w:pPr>
      <w:r w:rsidRPr="00EA15D3">
        <w:rPr>
          <w:rStyle w:val="a9"/>
        </w:rPr>
        <w:footnoteRef/>
      </w:r>
      <w:r w:rsidRPr="00EA15D3">
        <w:rPr>
          <w:rFonts w:ascii="Times New Roman" w:hAnsi="Times New Roman"/>
        </w:rPr>
        <w:t xml:space="preserve"> ГОСТ 7.60–2003 «Издания. Основные виды. Термины и определения»</w:t>
      </w:r>
    </w:p>
    <w:p w:rsidR="007977CD" w:rsidRDefault="007977CD" w:rsidP="007977CD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5BAA"/>
    <w:multiLevelType w:val="hybridMultilevel"/>
    <w:tmpl w:val="2AE4E382"/>
    <w:lvl w:ilvl="0" w:tplc="B7885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A2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A07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41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4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E5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47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8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B2F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C243C"/>
    <w:multiLevelType w:val="hybridMultilevel"/>
    <w:tmpl w:val="75A6F628"/>
    <w:lvl w:ilvl="0" w:tplc="19E85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23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C9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64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E4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E5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88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7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49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5A50"/>
    <w:multiLevelType w:val="hybridMultilevel"/>
    <w:tmpl w:val="F2624524"/>
    <w:lvl w:ilvl="0" w:tplc="C17067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CC63E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BD487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A886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C8E75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1A0FD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10D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866FD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082536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45902DC"/>
    <w:multiLevelType w:val="hybridMultilevel"/>
    <w:tmpl w:val="C178AF4E"/>
    <w:lvl w:ilvl="0" w:tplc="7150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27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82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CA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6C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A8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C5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40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45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CD"/>
    <w:rsid w:val="000529E3"/>
    <w:rsid w:val="001709E4"/>
    <w:rsid w:val="001747B7"/>
    <w:rsid w:val="001805D8"/>
    <w:rsid w:val="0029506B"/>
    <w:rsid w:val="00304A21"/>
    <w:rsid w:val="003B19F3"/>
    <w:rsid w:val="005B71FA"/>
    <w:rsid w:val="006661E8"/>
    <w:rsid w:val="00737977"/>
    <w:rsid w:val="007977CD"/>
    <w:rsid w:val="007C535E"/>
    <w:rsid w:val="007F21C1"/>
    <w:rsid w:val="00814627"/>
    <w:rsid w:val="00876607"/>
    <w:rsid w:val="00A81B8D"/>
    <w:rsid w:val="00AE1270"/>
    <w:rsid w:val="00B93291"/>
    <w:rsid w:val="00BA638C"/>
    <w:rsid w:val="00BC7B2A"/>
    <w:rsid w:val="00CD5C57"/>
    <w:rsid w:val="00CF45F2"/>
    <w:rsid w:val="00D4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7CD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7977CD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styleId="a6">
    <w:name w:val="Strong"/>
    <w:qFormat/>
    <w:rsid w:val="007977CD"/>
    <w:rPr>
      <w:b/>
      <w:bCs/>
    </w:rPr>
  </w:style>
  <w:style w:type="paragraph" w:styleId="a7">
    <w:name w:val="footnote text"/>
    <w:basedOn w:val="a"/>
    <w:link w:val="a8"/>
    <w:rsid w:val="007977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97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977C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7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7CD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7977CD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styleId="a6">
    <w:name w:val="Strong"/>
    <w:qFormat/>
    <w:rsid w:val="007977CD"/>
    <w:rPr>
      <w:b/>
      <w:bCs/>
    </w:rPr>
  </w:style>
  <w:style w:type="paragraph" w:styleId="a7">
    <w:name w:val="footnote text"/>
    <w:basedOn w:val="a"/>
    <w:link w:val="a8"/>
    <w:rsid w:val="007977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97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977C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7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urnal@vi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Ватулян Екатерина Артемовна</dc:creator>
  <cp:lastModifiedBy>Otdel_811_2</cp:lastModifiedBy>
  <cp:revision>2</cp:revision>
  <dcterms:created xsi:type="dcterms:W3CDTF">2021-10-22T11:16:00Z</dcterms:created>
  <dcterms:modified xsi:type="dcterms:W3CDTF">2021-10-22T11:16:00Z</dcterms:modified>
</cp:coreProperties>
</file>